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23F" w:rsidRDefault="0073623F" w:rsidP="00B66D72">
      <w:pPr>
        <w:pStyle w:val="Heading1"/>
        <w:spacing w:before="100" w:beforeAutospacing="1" w:after="100" w:afterAutospacing="1"/>
        <w:ind w:left="0" w:right="40"/>
        <w:rPr>
          <w:spacing w:val="0"/>
        </w:rPr>
      </w:pPr>
      <w:bookmarkStart w:id="0" w:name="_Toc144300597"/>
      <w:r>
        <w:rPr>
          <w:spacing w:val="0"/>
        </w:rPr>
        <w:t>OTHER SEX-BASED DISCRIMINATION</w:t>
      </w:r>
      <w:r w:rsidR="00B66D72" w:rsidRPr="00046E5A">
        <w:rPr>
          <w:spacing w:val="0"/>
        </w:rPr>
        <w:t xml:space="preserve"> </w:t>
      </w:r>
    </w:p>
    <w:p w:rsidR="00B66D72" w:rsidRPr="00046E5A" w:rsidRDefault="00B66D72" w:rsidP="00B66D72">
      <w:pPr>
        <w:pStyle w:val="Heading1"/>
        <w:spacing w:before="100" w:beforeAutospacing="1" w:after="100" w:afterAutospacing="1"/>
        <w:ind w:left="0" w:right="40"/>
        <w:rPr>
          <w:spacing w:val="0"/>
        </w:rPr>
      </w:pPr>
      <w:r w:rsidRPr="00046E5A">
        <w:rPr>
          <w:spacing w:val="0"/>
        </w:rPr>
        <w:t>GRIEVANCE PROCEDURE</w:t>
      </w:r>
      <w:bookmarkEnd w:id="0"/>
    </w:p>
    <w:p w:rsidR="00B66D72" w:rsidRPr="00046E5A" w:rsidRDefault="00B66D72" w:rsidP="00B66D72">
      <w:pPr>
        <w:pStyle w:val="Heading2"/>
        <w:spacing w:before="100" w:beforeAutospacing="1" w:after="100" w:afterAutospacing="1" w:line="240" w:lineRule="auto"/>
      </w:pPr>
      <w:bookmarkStart w:id="1" w:name="_Toc144300598"/>
      <w:r w:rsidRPr="00046E5A">
        <w:t>GRIEVANCE ISSUES</w:t>
      </w:r>
      <w:bookmarkEnd w:id="1"/>
    </w:p>
    <w:p w:rsidR="0073623F" w:rsidRDefault="00B66D72" w:rsidP="00B66D72">
      <w:pPr>
        <w:spacing w:before="100" w:beforeAutospacing="1" w:after="100" w:afterAutospacing="1" w:line="240" w:lineRule="auto"/>
        <w:ind w:firstLine="360"/>
        <w:rPr>
          <w:rFonts w:ascii="Arial Narrow" w:hAnsi="Arial Narrow"/>
          <w:color w:val="000000" w:themeColor="text1"/>
          <w:sz w:val="24"/>
          <w:szCs w:val="24"/>
        </w:rPr>
      </w:pPr>
      <w:r w:rsidRPr="00046E5A">
        <w:rPr>
          <w:rFonts w:ascii="Arial Narrow" w:hAnsi="Arial Narrow"/>
          <w:color w:val="000000" w:themeColor="text1"/>
          <w:sz w:val="24"/>
          <w:szCs w:val="24"/>
        </w:rPr>
        <w:t xml:space="preserve">The </w:t>
      </w:r>
      <w:r w:rsidR="0073623F">
        <w:rPr>
          <w:rFonts w:ascii="Arial Narrow" w:hAnsi="Arial Narrow"/>
          <w:color w:val="000000" w:themeColor="text1"/>
          <w:sz w:val="24"/>
          <w:szCs w:val="24"/>
        </w:rPr>
        <w:t>Other Sex-Based Discrimination</w:t>
      </w:r>
      <w:r w:rsidRPr="00046E5A">
        <w:rPr>
          <w:rFonts w:ascii="Arial Narrow" w:hAnsi="Arial Narrow"/>
          <w:color w:val="000000" w:themeColor="text1"/>
          <w:sz w:val="24"/>
          <w:szCs w:val="24"/>
        </w:rPr>
        <w:t xml:space="preserve"> Grievance Procedure applies to </w:t>
      </w:r>
      <w:r w:rsidR="0073623F">
        <w:rPr>
          <w:rFonts w:ascii="Arial Narrow" w:hAnsi="Arial Narrow"/>
          <w:color w:val="000000" w:themeColor="text1"/>
          <w:sz w:val="24"/>
          <w:szCs w:val="24"/>
        </w:rPr>
        <w:t xml:space="preserve">all </w:t>
      </w:r>
      <w:r w:rsidRPr="00046E5A">
        <w:rPr>
          <w:rFonts w:ascii="Arial Narrow" w:hAnsi="Arial Narrow"/>
          <w:color w:val="000000" w:themeColor="text1"/>
          <w:sz w:val="24"/>
          <w:szCs w:val="24"/>
        </w:rPr>
        <w:t xml:space="preserve">allegations of </w:t>
      </w:r>
      <w:r w:rsidR="0073623F">
        <w:rPr>
          <w:rFonts w:ascii="Arial Narrow" w:hAnsi="Arial Narrow"/>
          <w:color w:val="000000" w:themeColor="text1"/>
          <w:sz w:val="24"/>
          <w:szCs w:val="24"/>
        </w:rPr>
        <w:t>sex-based</w:t>
      </w:r>
      <w:r w:rsidRPr="00046E5A">
        <w:rPr>
          <w:rFonts w:ascii="Arial Narrow" w:hAnsi="Arial Narrow"/>
          <w:color w:val="000000" w:themeColor="text1"/>
          <w:sz w:val="24"/>
          <w:szCs w:val="24"/>
        </w:rPr>
        <w:t xml:space="preserve"> discrimination</w:t>
      </w:r>
      <w:r w:rsidR="0073623F">
        <w:rPr>
          <w:rFonts w:ascii="Arial Narrow" w:hAnsi="Arial Narrow"/>
          <w:color w:val="000000" w:themeColor="text1"/>
          <w:sz w:val="24"/>
          <w:szCs w:val="24"/>
        </w:rPr>
        <w:t xml:space="preserve"> that are not covered by the Title IX (Sexual Harassment Discrimination) Grievance Procedure. </w:t>
      </w:r>
      <w:r w:rsidR="0056115D">
        <w:rPr>
          <w:rFonts w:ascii="Arial Narrow" w:hAnsi="Arial Narrow"/>
          <w:color w:val="000000" w:themeColor="text1"/>
          <w:sz w:val="24"/>
          <w:szCs w:val="24"/>
        </w:rPr>
        <w:t>“Other Sex-Based Discrimination” includes</w:t>
      </w:r>
      <w:r w:rsidR="0073623F">
        <w:rPr>
          <w:rFonts w:ascii="Arial Narrow" w:hAnsi="Arial Narrow"/>
          <w:color w:val="000000" w:themeColor="text1"/>
          <w:sz w:val="24"/>
          <w:szCs w:val="24"/>
        </w:rPr>
        <w:t>, but is not limited to:</w:t>
      </w:r>
      <w:r w:rsidRPr="00046E5A">
        <w:rPr>
          <w:rFonts w:ascii="Arial Narrow" w:hAnsi="Arial Narrow"/>
          <w:color w:val="000000" w:themeColor="text1"/>
          <w:sz w:val="24"/>
          <w:szCs w:val="24"/>
        </w:rPr>
        <w:t xml:space="preserve"> </w:t>
      </w:r>
    </w:p>
    <w:p w:rsidR="0073623F" w:rsidRDefault="0073623F" w:rsidP="0073623F">
      <w:pPr>
        <w:pStyle w:val="ListParagraph"/>
        <w:numPr>
          <w:ilvl w:val="0"/>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A</w:t>
      </w:r>
      <w:r w:rsidRPr="0073623F">
        <w:rPr>
          <w:rFonts w:ascii="Arial Narrow" w:hAnsi="Arial Narrow"/>
          <w:color w:val="000000" w:themeColor="text1"/>
        </w:rPr>
        <w:t xml:space="preserve">llegations of discrimination on the basis of sex that do not involve allegations of sexual harassment or sexual violence; </w:t>
      </w:r>
    </w:p>
    <w:p w:rsidR="00B66D72" w:rsidRDefault="0073623F" w:rsidP="0073623F">
      <w:pPr>
        <w:pStyle w:val="ListParagraph"/>
        <w:numPr>
          <w:ilvl w:val="0"/>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A</w:t>
      </w:r>
      <w:r w:rsidRPr="0073623F">
        <w:rPr>
          <w:rFonts w:ascii="Arial Narrow" w:hAnsi="Arial Narrow"/>
          <w:color w:val="000000" w:themeColor="text1"/>
        </w:rPr>
        <w:t>llegations of sexual harassment or sexual violence</w:t>
      </w:r>
      <w:r>
        <w:rPr>
          <w:rFonts w:ascii="Arial Narrow" w:hAnsi="Arial Narrow"/>
          <w:color w:val="000000" w:themeColor="text1"/>
        </w:rPr>
        <w:t xml:space="preserve"> that cannot proceed under the Title IX (Sexual Harassment Discrimination) Grievance Procedure because:</w:t>
      </w:r>
    </w:p>
    <w:p w:rsidR="0073623F" w:rsidRDefault="0073623F" w:rsidP="0073623F">
      <w:pPr>
        <w:pStyle w:val="ListParagraph"/>
        <w:numPr>
          <w:ilvl w:val="1"/>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The allegations do not meet the specific definitions of Sexual Harassment under Title IX, Sexual Assault, Stalking, Domestic Violence, or Dating Violence applicable to the Title IX (Sexual Harassment Discrimination) Grievance Procedure</w:t>
      </w:r>
      <w:r w:rsidR="00463918">
        <w:rPr>
          <w:rFonts w:ascii="Arial Narrow" w:hAnsi="Arial Narrow"/>
          <w:color w:val="000000" w:themeColor="text1"/>
        </w:rPr>
        <w:t>;</w:t>
      </w:r>
    </w:p>
    <w:p w:rsidR="00463918" w:rsidRDefault="00FE290D" w:rsidP="0073623F">
      <w:pPr>
        <w:pStyle w:val="ListParagraph"/>
        <w:numPr>
          <w:ilvl w:val="1"/>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 xml:space="preserve">The </w:t>
      </w:r>
      <w:r w:rsidRPr="00046E5A">
        <w:rPr>
          <w:rFonts w:ascii="Arial Narrow" w:hAnsi="Arial Narrow"/>
          <w:color w:val="000000" w:themeColor="text1"/>
        </w:rPr>
        <w:t xml:space="preserve">acts alleged to have occurred took place against a person located </w:t>
      </w:r>
      <w:r w:rsidR="00DA1234">
        <w:rPr>
          <w:rFonts w:ascii="Arial Narrow" w:hAnsi="Arial Narrow"/>
          <w:color w:val="000000" w:themeColor="text1"/>
        </w:rPr>
        <w:t>outside of</w:t>
      </w:r>
      <w:bookmarkStart w:id="2" w:name="_GoBack"/>
      <w:bookmarkEnd w:id="2"/>
      <w:r w:rsidRPr="00046E5A">
        <w:rPr>
          <w:rFonts w:ascii="Arial Narrow" w:hAnsi="Arial Narrow"/>
          <w:color w:val="000000" w:themeColor="text1"/>
        </w:rPr>
        <w:t xml:space="preserve"> the United States;</w:t>
      </w:r>
      <w:r>
        <w:rPr>
          <w:rFonts w:ascii="Arial Narrow" w:hAnsi="Arial Narrow"/>
          <w:color w:val="000000" w:themeColor="text1"/>
        </w:rPr>
        <w:t xml:space="preserve"> or</w:t>
      </w:r>
    </w:p>
    <w:p w:rsidR="00FE290D" w:rsidRDefault="00FE290D" w:rsidP="0073623F">
      <w:pPr>
        <w:pStyle w:val="ListParagraph"/>
        <w:numPr>
          <w:ilvl w:val="1"/>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 xml:space="preserve">The </w:t>
      </w:r>
      <w:r w:rsidRPr="00046E5A">
        <w:rPr>
          <w:rFonts w:ascii="Arial Narrow" w:hAnsi="Arial Narrow"/>
          <w:color w:val="000000" w:themeColor="text1"/>
        </w:rPr>
        <w:t xml:space="preserve">acts alleged to have occurred took place </w:t>
      </w:r>
      <w:r>
        <w:rPr>
          <w:rFonts w:ascii="Arial Narrow" w:hAnsi="Arial Narrow"/>
          <w:color w:val="000000" w:themeColor="text1"/>
        </w:rPr>
        <w:t xml:space="preserve">outside of </w:t>
      </w:r>
      <w:r w:rsidRPr="00046E5A">
        <w:rPr>
          <w:rFonts w:ascii="Arial Narrow" w:hAnsi="Arial Narrow"/>
          <w:color w:val="000000" w:themeColor="text1"/>
        </w:rPr>
        <w:t>a location over which the campus exercises substantial control or under circumstances</w:t>
      </w:r>
      <w:r w:rsidR="00477C5D">
        <w:rPr>
          <w:rFonts w:ascii="Arial Narrow" w:hAnsi="Arial Narrow"/>
          <w:color w:val="000000" w:themeColor="text1"/>
        </w:rPr>
        <w:t xml:space="preserve"> over which the campus lacked substantial control;</w:t>
      </w:r>
    </w:p>
    <w:p w:rsidR="00450891" w:rsidRDefault="00450891" w:rsidP="00477C5D">
      <w:pPr>
        <w:pStyle w:val="ListParagraph"/>
        <w:numPr>
          <w:ilvl w:val="0"/>
          <w:numId w:val="18"/>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Allegations of retaliation for reporting or participating in the investigation of any claim of sex-based discrimination; and</w:t>
      </w:r>
    </w:p>
    <w:p w:rsidR="00477C5D" w:rsidRPr="00477C5D" w:rsidRDefault="00477C5D" w:rsidP="00477C5D">
      <w:pPr>
        <w:pStyle w:val="ListParagraph"/>
        <w:numPr>
          <w:ilvl w:val="0"/>
          <w:numId w:val="18"/>
        </w:numPr>
        <w:spacing w:before="100" w:beforeAutospacing="1" w:after="100" w:afterAutospacing="1" w:line="240" w:lineRule="auto"/>
        <w:rPr>
          <w:rFonts w:ascii="Arial Narrow" w:hAnsi="Arial Narrow"/>
          <w:color w:val="000000" w:themeColor="text1"/>
        </w:rPr>
      </w:pPr>
      <w:r w:rsidRPr="00477C5D">
        <w:rPr>
          <w:rFonts w:ascii="Arial Narrow" w:hAnsi="Arial Narrow"/>
          <w:color w:val="000000" w:themeColor="text1"/>
        </w:rPr>
        <w:t>Allegations of any activity prohibited by 34 C.F.R. § 106.31(b).</w:t>
      </w:r>
    </w:p>
    <w:p w:rsidR="0056115D" w:rsidRDefault="0056115D" w:rsidP="0056115D">
      <w:pPr>
        <w:spacing w:before="100" w:beforeAutospacing="1" w:after="100" w:afterAutospacing="1" w:line="240" w:lineRule="auto"/>
        <w:ind w:firstLine="360"/>
        <w:rPr>
          <w:rFonts w:ascii="Arial Narrow" w:hAnsi="Arial Narrow"/>
          <w:color w:val="000000" w:themeColor="text1"/>
          <w:sz w:val="24"/>
          <w:szCs w:val="24"/>
        </w:rPr>
      </w:pPr>
      <w:r>
        <w:rPr>
          <w:rFonts w:ascii="Arial Narrow" w:hAnsi="Arial Narrow"/>
          <w:color w:val="000000" w:themeColor="text1"/>
          <w:sz w:val="24"/>
          <w:szCs w:val="24"/>
        </w:rPr>
        <w:t xml:space="preserve">The following types of allegations are not </w:t>
      </w:r>
      <w:proofErr w:type="spellStart"/>
      <w:r>
        <w:rPr>
          <w:rFonts w:ascii="Arial Narrow" w:hAnsi="Arial Narrow"/>
          <w:color w:val="000000" w:themeColor="text1"/>
          <w:sz w:val="24"/>
          <w:szCs w:val="24"/>
        </w:rPr>
        <w:t>grievable</w:t>
      </w:r>
      <w:proofErr w:type="spellEnd"/>
      <w:r>
        <w:rPr>
          <w:rFonts w:ascii="Arial Narrow" w:hAnsi="Arial Narrow"/>
          <w:color w:val="000000" w:themeColor="text1"/>
          <w:sz w:val="24"/>
          <w:szCs w:val="24"/>
        </w:rPr>
        <w:t xml:space="preserve"> under this Other Sex-Based Discrimination Grievance Procedure:</w:t>
      </w:r>
    </w:p>
    <w:p w:rsidR="0056115D" w:rsidRDefault="0056115D" w:rsidP="0056115D">
      <w:pPr>
        <w:pStyle w:val="ListParagraph"/>
        <w:numPr>
          <w:ilvl w:val="0"/>
          <w:numId w:val="19"/>
        </w:numPr>
        <w:spacing w:before="100" w:beforeAutospacing="1" w:after="100" w:afterAutospacing="1" w:line="240" w:lineRule="auto"/>
        <w:rPr>
          <w:rFonts w:ascii="Arial Narrow" w:hAnsi="Arial Narrow"/>
          <w:color w:val="000000" w:themeColor="text1"/>
        </w:rPr>
      </w:pPr>
      <w:r>
        <w:rPr>
          <w:rFonts w:ascii="Arial Narrow" w:hAnsi="Arial Narrow"/>
          <w:color w:val="000000" w:themeColor="text1"/>
        </w:rPr>
        <w:t>Allegations that are subject to the Title IX (Sexual Harassment Discrimination) Grievance Procedure; and</w:t>
      </w:r>
    </w:p>
    <w:p w:rsidR="00477C5D" w:rsidRPr="0056115D" w:rsidRDefault="00477C5D" w:rsidP="0056115D">
      <w:pPr>
        <w:pStyle w:val="ListParagraph"/>
        <w:numPr>
          <w:ilvl w:val="0"/>
          <w:numId w:val="19"/>
        </w:numPr>
        <w:spacing w:before="100" w:beforeAutospacing="1" w:after="100" w:afterAutospacing="1" w:line="240" w:lineRule="auto"/>
        <w:rPr>
          <w:rFonts w:ascii="Arial Narrow" w:hAnsi="Arial Narrow"/>
          <w:color w:val="000000" w:themeColor="text1"/>
        </w:rPr>
      </w:pPr>
      <w:r w:rsidRPr="0056115D">
        <w:rPr>
          <w:rFonts w:ascii="Arial Narrow" w:hAnsi="Arial Narrow"/>
          <w:color w:val="000000" w:themeColor="text1"/>
        </w:rPr>
        <w:t>A</w:t>
      </w:r>
      <w:r w:rsidR="0056115D">
        <w:rPr>
          <w:rFonts w:ascii="Arial Narrow" w:hAnsi="Arial Narrow"/>
          <w:color w:val="000000" w:themeColor="text1"/>
        </w:rPr>
        <w:t>llegations of a</w:t>
      </w:r>
      <w:r w:rsidRPr="0056115D">
        <w:rPr>
          <w:rFonts w:ascii="Arial Narrow" w:hAnsi="Arial Narrow"/>
          <w:color w:val="000000" w:themeColor="text1"/>
        </w:rPr>
        <w:t>ctions permitted by 34 C.F.R. § 106.14.</w:t>
      </w:r>
    </w:p>
    <w:p w:rsidR="00B66D72" w:rsidRPr="00046E5A" w:rsidRDefault="00477C5D" w:rsidP="00B66D72">
      <w:pPr>
        <w:pStyle w:val="Heading2"/>
        <w:spacing w:before="100" w:beforeAutospacing="1" w:after="100" w:afterAutospacing="1" w:line="240" w:lineRule="auto"/>
      </w:pPr>
      <w:bookmarkStart w:id="3" w:name="_Toc144300599"/>
      <w:r>
        <w:t>R</w:t>
      </w:r>
      <w:r w:rsidR="00B66D72" w:rsidRPr="00046E5A">
        <w:t xml:space="preserve">EPORT OF </w:t>
      </w:r>
      <w:r w:rsidR="00463918">
        <w:t>OTHER SEX-BASED</w:t>
      </w:r>
      <w:r w:rsidR="00B66D72" w:rsidRPr="00046E5A">
        <w:t xml:space="preserve"> DISCRIMINATION</w:t>
      </w:r>
      <w:bookmarkEnd w:id="3"/>
    </w:p>
    <w:p w:rsidR="00B66D72" w:rsidRPr="00046E5A" w:rsidRDefault="00B66D72" w:rsidP="00B66D72">
      <w:pPr>
        <w:spacing w:before="100" w:beforeAutospacing="1" w:after="100" w:afterAutospacing="1" w:line="240" w:lineRule="auto"/>
        <w:ind w:firstLine="360"/>
        <w:rPr>
          <w:rFonts w:ascii="Arial Narrow" w:hAnsi="Arial Narrow"/>
          <w:color w:val="000000" w:themeColor="text1"/>
          <w:sz w:val="24"/>
          <w:szCs w:val="24"/>
        </w:rPr>
      </w:pPr>
      <w:r w:rsidRPr="00046E5A">
        <w:rPr>
          <w:rFonts w:ascii="Arial Narrow" w:hAnsi="Arial Narrow"/>
          <w:color w:val="000000" w:themeColor="text1"/>
          <w:sz w:val="24"/>
          <w:szCs w:val="24"/>
        </w:rPr>
        <w:t xml:space="preserve">Any employee, student, or visitor participating in or attempting to participate in an educational program or activity offered by a campus in the Arkansas State University System who believes he or she has been subjected to </w:t>
      </w:r>
      <w:r w:rsidR="0056115D">
        <w:rPr>
          <w:rFonts w:ascii="Arial Narrow" w:hAnsi="Arial Narrow"/>
          <w:color w:val="000000" w:themeColor="text1"/>
          <w:sz w:val="24"/>
          <w:szCs w:val="24"/>
        </w:rPr>
        <w:t>Other Sex-Based Discrimination</w:t>
      </w:r>
      <w:r w:rsidRPr="00046E5A">
        <w:rPr>
          <w:rFonts w:ascii="Arial Narrow" w:hAnsi="Arial Narrow"/>
          <w:color w:val="000000" w:themeColor="text1"/>
          <w:sz w:val="24"/>
          <w:szCs w:val="24"/>
        </w:rPr>
        <w:t xml:space="preserve"> should report the incident to the applicable campus’s Title IX Coordinator utilizing the reporting form available on the Title IX web site for the campus. Employees with supervisory responsibilities </w:t>
      </w:r>
      <w:r w:rsidRPr="00046E5A">
        <w:rPr>
          <w:rFonts w:ascii="Arial Narrow" w:eastAsia="Arial Narrow" w:hAnsi="Arial Narrow" w:cs="Arial Narrow"/>
          <w:sz w:val="24"/>
          <w:szCs w:val="24"/>
        </w:rPr>
        <w:t>including deans, vice chancellors, department chairs, faculty, student conduct personnel, human resources personnel, athletic administrators, coaches,</w:t>
      </w:r>
      <w:r w:rsidRPr="00046E5A">
        <w:rPr>
          <w:rFonts w:ascii="Arial Narrow" w:hAnsi="Arial Narrow"/>
          <w:color w:val="000000" w:themeColor="text1"/>
          <w:sz w:val="24"/>
          <w:szCs w:val="24"/>
        </w:rPr>
        <w:t xml:space="preserve"> and university police personnel must report incidents of </w:t>
      </w:r>
      <w:r w:rsidR="0056115D">
        <w:rPr>
          <w:rFonts w:ascii="Arial Narrow" w:hAnsi="Arial Narrow"/>
          <w:color w:val="000000" w:themeColor="text1"/>
          <w:sz w:val="24"/>
          <w:szCs w:val="24"/>
        </w:rPr>
        <w:t>Other Sex-Based Discrimination</w:t>
      </w:r>
      <w:r w:rsidRPr="00046E5A">
        <w:rPr>
          <w:rFonts w:ascii="Arial Narrow" w:hAnsi="Arial Narrow"/>
          <w:color w:val="000000" w:themeColor="text1"/>
          <w:sz w:val="24"/>
          <w:szCs w:val="24"/>
        </w:rPr>
        <w:t xml:space="preserve"> either observed by them or reported to them to the Title IX Coordinator. In the event the </w:t>
      </w:r>
      <w:r w:rsidR="0056115D">
        <w:rPr>
          <w:rFonts w:ascii="Arial Narrow" w:hAnsi="Arial Narrow"/>
          <w:color w:val="000000" w:themeColor="text1"/>
          <w:sz w:val="24"/>
          <w:szCs w:val="24"/>
        </w:rPr>
        <w:t>Other Sex-Based Discrimination</w:t>
      </w:r>
      <w:r w:rsidRPr="00046E5A">
        <w:rPr>
          <w:rFonts w:ascii="Arial Narrow" w:hAnsi="Arial Narrow"/>
          <w:color w:val="000000" w:themeColor="text1"/>
          <w:sz w:val="24"/>
          <w:szCs w:val="24"/>
        </w:rPr>
        <w:t xml:space="preserve"> allegation is against the Title IX Coordinator, the report form should be submitted to the </w:t>
      </w:r>
      <w:r w:rsidR="0056115D">
        <w:rPr>
          <w:rFonts w:ascii="Arial Narrow" w:hAnsi="Arial Narrow"/>
          <w:color w:val="000000" w:themeColor="text1"/>
          <w:sz w:val="24"/>
          <w:szCs w:val="24"/>
        </w:rPr>
        <w:t xml:space="preserve">ASU System </w:t>
      </w:r>
      <w:r w:rsidRPr="00046E5A">
        <w:rPr>
          <w:rFonts w:ascii="Arial Narrow" w:hAnsi="Arial Narrow"/>
          <w:color w:val="000000" w:themeColor="text1"/>
          <w:sz w:val="24"/>
          <w:szCs w:val="24"/>
        </w:rPr>
        <w:t xml:space="preserve">Office of General Counsel. Reporting may be done by telephone, fax, email, or a hard copy communication, and may be submitted during or </w:t>
      </w:r>
      <w:r w:rsidRPr="00046E5A">
        <w:rPr>
          <w:rFonts w:ascii="Arial Narrow" w:hAnsi="Arial Narrow"/>
          <w:color w:val="000000" w:themeColor="text1"/>
          <w:sz w:val="24"/>
          <w:szCs w:val="24"/>
        </w:rPr>
        <w:lastRenderedPageBreak/>
        <w:t xml:space="preserve">outside of business hours. In order to ensure timely investigation and remedy, </w:t>
      </w:r>
      <w:proofErr w:type="gramStart"/>
      <w:r w:rsidRPr="00046E5A">
        <w:rPr>
          <w:rFonts w:ascii="Arial Narrow" w:hAnsi="Arial Narrow"/>
          <w:color w:val="000000" w:themeColor="text1"/>
          <w:sz w:val="24"/>
          <w:szCs w:val="24"/>
        </w:rPr>
        <w:t>a</w:t>
      </w:r>
      <w:r w:rsidR="0056115D">
        <w:rPr>
          <w:rFonts w:ascii="Arial Narrow" w:hAnsi="Arial Narrow"/>
          <w:color w:val="000000" w:themeColor="text1"/>
          <w:sz w:val="24"/>
          <w:szCs w:val="24"/>
        </w:rPr>
        <w:t>n Other</w:t>
      </w:r>
      <w:proofErr w:type="gramEnd"/>
      <w:r w:rsidR="0056115D">
        <w:rPr>
          <w:rFonts w:ascii="Arial Narrow" w:hAnsi="Arial Narrow"/>
          <w:color w:val="000000" w:themeColor="text1"/>
          <w:sz w:val="24"/>
          <w:szCs w:val="24"/>
        </w:rPr>
        <w:t xml:space="preserve"> Sex-Based Discrimination </w:t>
      </w:r>
      <w:r w:rsidRPr="00046E5A">
        <w:rPr>
          <w:rFonts w:ascii="Arial Narrow" w:hAnsi="Arial Narrow"/>
          <w:color w:val="000000" w:themeColor="text1"/>
          <w:sz w:val="24"/>
          <w:szCs w:val="24"/>
        </w:rPr>
        <w:t>grievance should be activated within sixty (60) days from the time the events leading to the complaint occurred</w:t>
      </w:r>
      <w:r w:rsidR="0056115D">
        <w:rPr>
          <w:rFonts w:ascii="Arial Narrow" w:hAnsi="Arial Narrow"/>
          <w:color w:val="000000" w:themeColor="text1"/>
          <w:sz w:val="24"/>
          <w:szCs w:val="24"/>
        </w:rPr>
        <w:t>,</w:t>
      </w:r>
      <w:r w:rsidRPr="00046E5A">
        <w:rPr>
          <w:rFonts w:ascii="Arial Narrow" w:hAnsi="Arial Narrow"/>
          <w:color w:val="000000" w:themeColor="text1"/>
          <w:sz w:val="24"/>
          <w:szCs w:val="24"/>
        </w:rPr>
        <w:t xml:space="preserve"> as delay in reporting impedes the ability to achieve prompt resolution. Reports of sexual violence will be reported to law enforcement authorities</w:t>
      </w:r>
      <w:r w:rsidR="0056115D">
        <w:rPr>
          <w:rFonts w:ascii="Arial Narrow" w:hAnsi="Arial Narrow"/>
          <w:color w:val="000000" w:themeColor="text1"/>
          <w:sz w:val="24"/>
          <w:szCs w:val="24"/>
        </w:rPr>
        <w:t>, if such a report is not prohibited by law</w:t>
      </w:r>
      <w:r w:rsidRPr="00046E5A">
        <w:rPr>
          <w:rFonts w:ascii="Arial Narrow" w:hAnsi="Arial Narrow"/>
          <w:color w:val="000000" w:themeColor="text1"/>
          <w:sz w:val="24"/>
          <w:szCs w:val="24"/>
        </w:rPr>
        <w:t>.</w:t>
      </w:r>
    </w:p>
    <w:p w:rsidR="00B66D72" w:rsidRPr="00046E5A" w:rsidRDefault="00B66D72" w:rsidP="00B66D72">
      <w:pPr>
        <w:spacing w:before="100" w:beforeAutospacing="1" w:after="100" w:afterAutospacing="1" w:line="240" w:lineRule="auto"/>
        <w:ind w:firstLine="360"/>
        <w:rPr>
          <w:rFonts w:ascii="Arial Narrow" w:hAnsi="Arial Narrow"/>
          <w:color w:val="000000" w:themeColor="text1"/>
          <w:sz w:val="24"/>
          <w:szCs w:val="24"/>
        </w:rPr>
      </w:pPr>
      <w:r w:rsidRPr="00046E5A">
        <w:rPr>
          <w:rFonts w:ascii="Arial Narrow" w:hAnsi="Arial Narrow"/>
          <w:color w:val="000000" w:themeColor="text1"/>
          <w:sz w:val="24"/>
          <w:szCs w:val="24"/>
        </w:rPr>
        <w:t xml:space="preserve">Criminal investigations by any law enforcement agencies or investigations conducted under the Faculty, Staff, or Student Handbooks may occur simultaneously with </w:t>
      </w:r>
      <w:proofErr w:type="gramStart"/>
      <w:r w:rsidRPr="00046E5A">
        <w:rPr>
          <w:rFonts w:ascii="Arial Narrow" w:hAnsi="Arial Narrow"/>
          <w:color w:val="000000" w:themeColor="text1"/>
          <w:sz w:val="24"/>
          <w:szCs w:val="24"/>
        </w:rPr>
        <w:t>a</w:t>
      </w:r>
      <w:r w:rsidR="0056115D">
        <w:rPr>
          <w:rFonts w:ascii="Arial Narrow" w:hAnsi="Arial Narrow"/>
          <w:color w:val="000000" w:themeColor="text1"/>
          <w:sz w:val="24"/>
          <w:szCs w:val="24"/>
        </w:rPr>
        <w:t>n</w:t>
      </w:r>
      <w:r w:rsidRPr="00046E5A">
        <w:rPr>
          <w:rFonts w:ascii="Arial Narrow" w:hAnsi="Arial Narrow"/>
          <w:color w:val="000000" w:themeColor="text1"/>
          <w:sz w:val="24"/>
          <w:szCs w:val="24"/>
        </w:rPr>
        <w:t xml:space="preserve"> </w:t>
      </w:r>
      <w:r w:rsidR="0056115D">
        <w:rPr>
          <w:rFonts w:ascii="Arial Narrow" w:hAnsi="Arial Narrow"/>
          <w:color w:val="000000" w:themeColor="text1"/>
          <w:sz w:val="24"/>
          <w:szCs w:val="24"/>
        </w:rPr>
        <w:t>Other</w:t>
      </w:r>
      <w:proofErr w:type="gramEnd"/>
      <w:r w:rsidR="0056115D">
        <w:rPr>
          <w:rFonts w:ascii="Arial Narrow" w:hAnsi="Arial Narrow"/>
          <w:color w:val="000000" w:themeColor="text1"/>
          <w:sz w:val="24"/>
          <w:szCs w:val="24"/>
        </w:rPr>
        <w:t xml:space="preserve"> Sex-Based D</w:t>
      </w:r>
      <w:r w:rsidRPr="00046E5A">
        <w:rPr>
          <w:rFonts w:ascii="Arial Narrow" w:hAnsi="Arial Narrow"/>
          <w:color w:val="000000" w:themeColor="text1"/>
          <w:sz w:val="24"/>
          <w:szCs w:val="24"/>
        </w:rPr>
        <w:t>iscrimination grievance.</w:t>
      </w:r>
    </w:p>
    <w:p w:rsidR="00B66D72" w:rsidRPr="00046E5A" w:rsidRDefault="00B66D72" w:rsidP="00B66D72">
      <w:pPr>
        <w:pStyle w:val="Heading2"/>
        <w:spacing w:before="100" w:beforeAutospacing="1" w:after="100" w:afterAutospacing="1" w:line="240" w:lineRule="auto"/>
      </w:pPr>
      <w:bookmarkStart w:id="4" w:name="_Toc144300600"/>
      <w:r w:rsidRPr="00046E5A">
        <w:t>TITLE IX COORDINATOR’S RESPONSE</w:t>
      </w:r>
      <w:bookmarkEnd w:id="4"/>
      <w:r w:rsidRPr="00046E5A">
        <w:t xml:space="preserve">        </w:t>
      </w:r>
    </w:p>
    <w:p w:rsidR="00B66D72" w:rsidRPr="00337557" w:rsidRDefault="00B66D72" w:rsidP="00337557">
      <w:pPr>
        <w:pStyle w:val="ListParagraph"/>
        <w:numPr>
          <w:ilvl w:val="0"/>
          <w:numId w:val="8"/>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Upon receipt of a report of an allegation of </w:t>
      </w:r>
      <w:r w:rsidR="004F1061">
        <w:rPr>
          <w:rFonts w:ascii="Arial Narrow" w:hAnsi="Arial Narrow"/>
          <w:color w:val="000000" w:themeColor="text1"/>
        </w:rPr>
        <w:t>Other Sex-Based Discrimination</w:t>
      </w:r>
      <w:r w:rsidRPr="00046E5A">
        <w:rPr>
          <w:rFonts w:ascii="Arial Narrow" w:hAnsi="Arial Narrow"/>
          <w:color w:val="000000" w:themeColor="text1"/>
        </w:rPr>
        <w:t xml:space="preserve">, the Title IX Coordinator will contact the person alleged to have been subjected to the </w:t>
      </w:r>
      <w:r w:rsidR="00337557">
        <w:rPr>
          <w:rFonts w:ascii="Arial Narrow" w:hAnsi="Arial Narrow"/>
          <w:color w:val="000000" w:themeColor="text1"/>
        </w:rPr>
        <w:t>Other Sex-Based Discrimination</w:t>
      </w:r>
      <w:r w:rsidRPr="00046E5A">
        <w:rPr>
          <w:rFonts w:ascii="Arial Narrow" w:hAnsi="Arial Narrow"/>
          <w:color w:val="000000" w:themeColor="text1"/>
        </w:rPr>
        <w:t xml:space="preserve"> (hereinafter referred to as a “Complainant”) within two (2) business days. During the initial contact, the Title IX Coordinator shall notify the Complainant of available supportive measures with or without the filing of a formal complaint, the process for filing a formal complaint, and the potential code of conduct violations for knowingly providing false information.  </w:t>
      </w:r>
    </w:p>
    <w:p w:rsidR="00B66D72" w:rsidRPr="00046E5A" w:rsidRDefault="00B66D72" w:rsidP="00B66D72">
      <w:pPr>
        <w:spacing w:before="100" w:beforeAutospacing="1" w:after="100" w:afterAutospacing="1" w:line="240" w:lineRule="auto"/>
        <w:ind w:left="720"/>
        <w:rPr>
          <w:rFonts w:ascii="Arial Narrow" w:hAnsi="Arial Narrow"/>
          <w:color w:val="000000" w:themeColor="text1"/>
          <w:sz w:val="24"/>
          <w:szCs w:val="24"/>
        </w:rPr>
      </w:pPr>
      <w:r w:rsidRPr="00046E5A">
        <w:rPr>
          <w:rFonts w:ascii="Arial Narrow" w:hAnsi="Arial Narrow"/>
          <w:color w:val="000000" w:themeColor="text1"/>
          <w:sz w:val="24"/>
          <w:szCs w:val="24"/>
        </w:rPr>
        <w:t xml:space="preserve">The formal complaint may be submitted electronically or in hard copy format. If the Complainant determines that he or she does not wish to pursue a formal complaint, the Title IX Coordinator shall assist the Complainant with appropriate continued supportive measures, and shall </w:t>
      </w:r>
      <w:proofErr w:type="gramStart"/>
      <w:r w:rsidRPr="00046E5A">
        <w:rPr>
          <w:rFonts w:ascii="Arial Narrow" w:hAnsi="Arial Narrow"/>
          <w:color w:val="000000" w:themeColor="text1"/>
          <w:sz w:val="24"/>
          <w:szCs w:val="24"/>
        </w:rPr>
        <w:t>make a determination</w:t>
      </w:r>
      <w:proofErr w:type="gramEnd"/>
      <w:r w:rsidRPr="00046E5A">
        <w:rPr>
          <w:rFonts w:ascii="Arial Narrow" w:hAnsi="Arial Narrow"/>
          <w:color w:val="000000" w:themeColor="text1"/>
          <w:sz w:val="24"/>
          <w:szCs w:val="24"/>
        </w:rPr>
        <w:t xml:space="preserve"> as to whether or not, based on the information that the Title IX Coordinator has at that time, the Title IX Coordinator will sign a formal complaint. The Title IX Coordinator shall only sign a formal complaint over the objection of a Complainant in the event that, based on the available facts at the time, failure to do so would be clearly unreasonable and would amount to deliberate indifference.     </w:t>
      </w:r>
    </w:p>
    <w:p w:rsidR="00B66D72" w:rsidRPr="00046E5A" w:rsidRDefault="00B66D72" w:rsidP="00B66D72">
      <w:pPr>
        <w:pStyle w:val="ListParagraph"/>
        <w:numPr>
          <w:ilvl w:val="0"/>
          <w:numId w:val="9"/>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Following the receipt of the formal complaint, the Title IX Coordinator will send a Notice of Allegations to both the Complainant, and the person alleged to have perpetrated the </w:t>
      </w:r>
      <w:r w:rsidR="00074AD3">
        <w:rPr>
          <w:rFonts w:ascii="Arial Narrow" w:hAnsi="Arial Narrow"/>
          <w:color w:val="000000" w:themeColor="text1"/>
        </w:rPr>
        <w:t>Other Sex-Based Discrimination</w:t>
      </w:r>
      <w:r w:rsidRPr="00046E5A">
        <w:rPr>
          <w:rFonts w:ascii="Arial Narrow" w:hAnsi="Arial Narrow"/>
          <w:color w:val="000000" w:themeColor="text1"/>
        </w:rPr>
        <w:t xml:space="preserve"> (hereinafter referred to as the “Respondent”). The Notice of Allegations will: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set forth the allegations outlined in the formal complaint;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advise the parties on the </w:t>
      </w:r>
      <w:r w:rsidR="00074AD3">
        <w:rPr>
          <w:rFonts w:ascii="Arial Narrow" w:hAnsi="Arial Narrow"/>
          <w:color w:val="000000" w:themeColor="text1"/>
        </w:rPr>
        <w:t>Other Sex-Based Discrimination</w:t>
      </w:r>
      <w:r w:rsidRPr="00046E5A">
        <w:rPr>
          <w:rFonts w:ascii="Arial Narrow" w:hAnsi="Arial Narrow"/>
          <w:color w:val="000000" w:themeColor="text1"/>
        </w:rPr>
        <w:t xml:space="preserve"> Grievance Procedure, including their right to not participate;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set forth the available supportive measures for the parties, which will be equitably available to each;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outline the availability of and describe the informal resolution procedure;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notify the parties that they have the right to have an advisor of their choice, who may but does not have to be an attorney, and that the advisor may attend but not directly participate in any meetings or interviews throughout the investigation;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notify the parties that they are required to have an advisor for the purposes of the hearing, and the availability of an advisor to be provided by the campus in the event that either party cannot obtain one;</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state the standard of evidence used in the </w:t>
      </w:r>
      <w:r w:rsidR="00074AD3">
        <w:rPr>
          <w:rFonts w:ascii="Arial Narrow" w:hAnsi="Arial Narrow"/>
          <w:color w:val="000000" w:themeColor="text1"/>
        </w:rPr>
        <w:t>Other Sex-Based Discrimination Grievance</w:t>
      </w:r>
      <w:r w:rsidRPr="00046E5A">
        <w:rPr>
          <w:rFonts w:ascii="Arial Narrow" w:hAnsi="Arial Narrow"/>
          <w:color w:val="000000" w:themeColor="text1"/>
        </w:rPr>
        <w:t xml:space="preserve"> </w:t>
      </w:r>
      <w:r w:rsidR="00074AD3">
        <w:rPr>
          <w:rFonts w:ascii="Arial Narrow" w:hAnsi="Arial Narrow"/>
          <w:color w:val="000000" w:themeColor="text1"/>
        </w:rPr>
        <w:t>P</w:t>
      </w:r>
      <w:r w:rsidRPr="00046E5A">
        <w:rPr>
          <w:rFonts w:ascii="Arial Narrow" w:hAnsi="Arial Narrow"/>
          <w:color w:val="000000" w:themeColor="text1"/>
        </w:rPr>
        <w:t xml:space="preserve">rocedure is preponderance of the evidence;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lastRenderedPageBreak/>
        <w:t xml:space="preserve">state that the parties each have the right to inspect, review, and respond to all information and evidence gathered, which will be presented to the parties promptly after its receipt by the Title IX Coordinator or investigator;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inform the parties of the potential code of conduct violations that can be pursued in the event that a party knowingly gives false statements or evidence; and, </w:t>
      </w:r>
    </w:p>
    <w:p w:rsidR="00B66D72" w:rsidRPr="00046E5A" w:rsidRDefault="00B66D72" w:rsidP="00B66D72">
      <w:pPr>
        <w:pStyle w:val="ListParagraph"/>
        <w:numPr>
          <w:ilvl w:val="0"/>
          <w:numId w:val="10"/>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state clearly that the Respondent is presumed “not responsible” unless and until there is a finding of responsibility at the conclusion of the hearing. </w:t>
      </w:r>
    </w:p>
    <w:p w:rsidR="00B66D72" w:rsidRPr="00341061" w:rsidRDefault="00B66D72" w:rsidP="00341061">
      <w:pPr>
        <w:pStyle w:val="ListParagraph"/>
        <w:numPr>
          <w:ilvl w:val="0"/>
          <w:numId w:val="15"/>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Immediately following the issuance of the Notice of Allegations, the Title IX Coordinator will review the formal complaint to verify that the conduct complained of </w:t>
      </w:r>
      <w:r w:rsidR="00341061">
        <w:rPr>
          <w:rFonts w:ascii="Arial Narrow" w:hAnsi="Arial Narrow"/>
          <w:color w:val="000000" w:themeColor="text1"/>
        </w:rPr>
        <w:t xml:space="preserve">is </w:t>
      </w:r>
      <w:proofErr w:type="spellStart"/>
      <w:r w:rsidR="00341061">
        <w:rPr>
          <w:rFonts w:ascii="Arial Narrow" w:hAnsi="Arial Narrow"/>
          <w:color w:val="000000" w:themeColor="text1"/>
        </w:rPr>
        <w:t>grievable</w:t>
      </w:r>
      <w:proofErr w:type="spellEnd"/>
      <w:r w:rsidR="00341061">
        <w:rPr>
          <w:rFonts w:ascii="Arial Narrow" w:hAnsi="Arial Narrow"/>
          <w:color w:val="000000" w:themeColor="text1"/>
        </w:rPr>
        <w:t xml:space="preserve"> under this Other Sex-Based Discrimination Grievance Procedure. </w:t>
      </w:r>
    </w:p>
    <w:p w:rsidR="00B66D72" w:rsidRPr="00D60356" w:rsidRDefault="00B66D72" w:rsidP="00B66D72">
      <w:pPr>
        <w:pStyle w:val="ListParagraph"/>
        <w:numPr>
          <w:ilvl w:val="0"/>
          <w:numId w:val="17"/>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Within forty-five (45) business days after receipt of a formal complaint, the Title IX Coordinator, or investigator, will conduct a full and impartial investigation, considering all available inculpatory and exculpatory evidence, by: interviewing the </w:t>
      </w:r>
      <w:r w:rsidR="00341061">
        <w:rPr>
          <w:rFonts w:ascii="Arial Narrow" w:hAnsi="Arial Narrow"/>
          <w:color w:val="000000" w:themeColor="text1"/>
        </w:rPr>
        <w:t>C</w:t>
      </w:r>
      <w:r w:rsidRPr="00046E5A">
        <w:rPr>
          <w:rFonts w:ascii="Arial Narrow" w:hAnsi="Arial Narrow"/>
          <w:color w:val="000000" w:themeColor="text1"/>
        </w:rPr>
        <w:t xml:space="preserve">omplainant, the </w:t>
      </w:r>
      <w:r w:rsidR="00341061">
        <w:rPr>
          <w:rFonts w:ascii="Arial Narrow" w:hAnsi="Arial Narrow"/>
          <w:color w:val="000000" w:themeColor="text1"/>
        </w:rPr>
        <w:t>R</w:t>
      </w:r>
      <w:r w:rsidRPr="00046E5A">
        <w:rPr>
          <w:rFonts w:ascii="Arial Narrow" w:hAnsi="Arial Narrow"/>
          <w:color w:val="000000" w:themeColor="text1"/>
        </w:rPr>
        <w:t xml:space="preserve">espondent, and any witnesses identified throughout the investigation; considering any expert testimony offered by either party; and, by reviewing any documentary evidence submitted by either party or obtained by the Title IX Coordinator or investigator. </w:t>
      </w:r>
    </w:p>
    <w:p w:rsidR="00B66D72" w:rsidRPr="00046E5A" w:rsidRDefault="00B66D72" w:rsidP="00B66D72">
      <w:pPr>
        <w:pStyle w:val="ListParagraph"/>
        <w:spacing w:before="100" w:beforeAutospacing="1" w:after="100" w:afterAutospacing="1" w:line="240" w:lineRule="auto"/>
        <w:ind w:firstLine="0"/>
        <w:jc w:val="left"/>
        <w:rPr>
          <w:rFonts w:ascii="Arial Narrow" w:hAnsi="Arial Narrow"/>
          <w:color w:val="000000" w:themeColor="text1"/>
        </w:rPr>
      </w:pPr>
      <w:r w:rsidRPr="00046E5A">
        <w:rPr>
          <w:rFonts w:ascii="Arial Narrow" w:hAnsi="Arial Narrow"/>
          <w:color w:val="000000" w:themeColor="text1"/>
        </w:rPr>
        <w:t xml:space="preserve">The Title IX Coordinator or investigator will: </w:t>
      </w:r>
    </w:p>
    <w:p w:rsidR="00B66D72" w:rsidRPr="00046E5A" w:rsidRDefault="00B66D72" w:rsidP="00B66D72">
      <w:pPr>
        <w:pStyle w:val="ListParagraph"/>
        <w:numPr>
          <w:ilvl w:val="1"/>
          <w:numId w:val="3"/>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not seek or consider any evidence which is protected by a legally acknowledged privilege without the written consent of the party who holds the privilege;  </w:t>
      </w:r>
    </w:p>
    <w:p w:rsidR="00B66D72" w:rsidRPr="00046E5A" w:rsidRDefault="00B66D72" w:rsidP="00B66D72">
      <w:pPr>
        <w:pStyle w:val="ListParagraph"/>
        <w:numPr>
          <w:ilvl w:val="1"/>
          <w:numId w:val="3"/>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not consider evidence of the Complainant’s sexual history or predisposition, unless offered to prove that someone else committed the acts the Respondent is accused of, or specific incident between the Complainant and Respondent are offered to prove consent; </w:t>
      </w:r>
    </w:p>
    <w:p w:rsidR="00B66D72" w:rsidRPr="00046E5A" w:rsidRDefault="00B66D72" w:rsidP="00B66D72">
      <w:pPr>
        <w:pStyle w:val="ListParagraph"/>
        <w:numPr>
          <w:ilvl w:val="1"/>
          <w:numId w:val="3"/>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make no credibility assessments based solely on a party’s status as a complainant or respondent; </w:t>
      </w:r>
    </w:p>
    <w:p w:rsidR="00B66D72" w:rsidRPr="00046E5A" w:rsidRDefault="00B66D72" w:rsidP="00B66D72">
      <w:pPr>
        <w:pStyle w:val="ListParagraph"/>
        <w:numPr>
          <w:ilvl w:val="1"/>
          <w:numId w:val="3"/>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provide any party requested to attend a meeting or interview with written notice of the day, time, location, invited participants, and purpose of the meeting or interview no less than two (2) business days in advance of the proposed meeting; </w:t>
      </w:r>
    </w:p>
    <w:p w:rsidR="00B66D72" w:rsidRPr="00046E5A" w:rsidRDefault="00B66D72" w:rsidP="00B66D72">
      <w:pPr>
        <w:pStyle w:val="ListParagraph"/>
        <w:numPr>
          <w:ilvl w:val="1"/>
          <w:numId w:val="3"/>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make ongoing determinations, throughout the investigation, regarding the appropriateness of available supportive measures, such as: suspension from employment with or without pay; suspension from classes following an individualized determination that based upon the allegations the Respondent poses an immediate threat to a faculty member, staff member, or student; issuance of a no contact directive to both parties; reassignment of job duties; counseling; campus escort services; increased security and monitoring certain areas on campus; or, changing class or classroom assignments. If immediate action is required, the Title IX Coordinator shall work with the appropriate administrator to implement supportive measures. </w:t>
      </w:r>
    </w:p>
    <w:p w:rsidR="00B66D72" w:rsidRPr="00046E5A" w:rsidRDefault="00B66D72" w:rsidP="00B66D72">
      <w:pPr>
        <w:pStyle w:val="ListParagraph"/>
        <w:numPr>
          <w:ilvl w:val="0"/>
          <w:numId w:val="17"/>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After studying all the pertinent facts and documents, carefully examining any policies involved, and discussing the issue with the parties and witnesses, the Title IX Coordinator shall either: </w:t>
      </w:r>
    </w:p>
    <w:p w:rsidR="00B66D72" w:rsidRPr="00046E5A" w:rsidRDefault="00B66D72" w:rsidP="00B66D72">
      <w:pPr>
        <w:pStyle w:val="ListParagraph"/>
        <w:numPr>
          <w:ilvl w:val="0"/>
          <w:numId w:val="4"/>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propose an informal resolution procedure be utilized to the parties which, if accepted, shall be documented in writing, and, if successful, shall conclude the investigation, or, if </w:t>
      </w:r>
      <w:r w:rsidRPr="00046E5A">
        <w:rPr>
          <w:rFonts w:ascii="Arial Narrow" w:hAnsi="Arial Narrow"/>
          <w:color w:val="000000" w:themeColor="text1"/>
        </w:rPr>
        <w:lastRenderedPageBreak/>
        <w:t>unsuccessful, shall result in the investigation proceeding towards a formal hearing, with all informal resolution proceeding documents being maintained and submitted to the Hearing Committee</w:t>
      </w:r>
      <w:r w:rsidR="00171774">
        <w:rPr>
          <w:rFonts w:ascii="Arial Narrow" w:hAnsi="Arial Narrow"/>
          <w:color w:val="000000" w:themeColor="text1"/>
        </w:rPr>
        <w:t>;</w:t>
      </w:r>
      <w:r w:rsidRPr="00046E5A">
        <w:rPr>
          <w:rFonts w:ascii="Arial Narrow" w:hAnsi="Arial Narrow"/>
          <w:color w:val="000000" w:themeColor="text1"/>
        </w:rPr>
        <w:t xml:space="preserve"> or</w:t>
      </w:r>
    </w:p>
    <w:p w:rsidR="00B66D72" w:rsidRPr="00046E5A" w:rsidRDefault="00B66D72" w:rsidP="00B66D72">
      <w:pPr>
        <w:pStyle w:val="ListParagraph"/>
        <w:numPr>
          <w:ilvl w:val="0"/>
          <w:numId w:val="4"/>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gather all evidence collected throughout the investigation that is directly related to the allegations in the complaint and simultaneously submit, in electronic or hard copy, it to the parties and their advisors, if any. The parties shall have ten (10) business days to review and respond to all evidence provided. The Title IX Coordinator or investigator will review and consider the response(s) of the parties before completing its investigative report. The investigative report shall be a formal written report which sets forth: </w:t>
      </w:r>
    </w:p>
    <w:p w:rsidR="00B66D72" w:rsidRPr="00046E5A" w:rsidRDefault="00B66D72" w:rsidP="00B66D72">
      <w:pPr>
        <w:pStyle w:val="ListParagraph"/>
        <w:numPr>
          <w:ilvl w:val="1"/>
          <w:numId w:val="5"/>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the timeline of the investigation, beginning with the formal complaint, and includes all notices given, meetings or interview conducted, and communications received; </w:t>
      </w:r>
    </w:p>
    <w:p w:rsidR="00B66D72" w:rsidRPr="00046E5A" w:rsidRDefault="00B66D72" w:rsidP="00B66D72">
      <w:pPr>
        <w:pStyle w:val="ListParagraph"/>
        <w:numPr>
          <w:ilvl w:val="1"/>
          <w:numId w:val="5"/>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the allegations contained in the formal complaint; </w:t>
      </w:r>
    </w:p>
    <w:p w:rsidR="00B66D72" w:rsidRPr="00046E5A" w:rsidRDefault="00B66D72" w:rsidP="00B66D72">
      <w:pPr>
        <w:pStyle w:val="ListParagraph"/>
        <w:numPr>
          <w:ilvl w:val="1"/>
          <w:numId w:val="5"/>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the evidence relevant to the allegations gathered throughout the investigation; and,</w:t>
      </w:r>
    </w:p>
    <w:p w:rsidR="00B66D72" w:rsidRPr="00046E5A" w:rsidRDefault="00B66D72" w:rsidP="00B66D72">
      <w:pPr>
        <w:pStyle w:val="ListParagraph"/>
        <w:numPr>
          <w:ilvl w:val="1"/>
          <w:numId w:val="5"/>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the specific form of sexual discrimination the Respondent is alleged to have engaged in. </w:t>
      </w:r>
    </w:p>
    <w:p w:rsidR="00B66D72" w:rsidRPr="00046E5A" w:rsidRDefault="00B66D72" w:rsidP="00B66D72">
      <w:pPr>
        <w:pStyle w:val="ListParagraph"/>
        <w:numPr>
          <w:ilvl w:val="0"/>
          <w:numId w:val="17"/>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 xml:space="preserve">Following the completion of the investigative report, the Title IX Coordinator will simultaneously submit, in electronic or hard copy, the investigative report to both parties and their advisors, if any. Both parties shall have a period of ten (10) business days to review the investigative report before the hearing date. Both parties have the option to submit a written response to the investigative report. The investigative report and any written responses by either party shall be submitted to the Title IX Hearing Committee.   </w:t>
      </w:r>
    </w:p>
    <w:p w:rsidR="00B66D72" w:rsidRPr="00046E5A" w:rsidRDefault="00B66D72" w:rsidP="00B66D72">
      <w:pPr>
        <w:pStyle w:val="ListParagraph"/>
        <w:numPr>
          <w:ilvl w:val="0"/>
          <w:numId w:val="17"/>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Timelines may be extended by the Title IX Coordinator in extenuating circumstances and for good cause shown.</w:t>
      </w:r>
    </w:p>
    <w:p w:rsidR="00B66D72" w:rsidRPr="00D60356" w:rsidRDefault="00B66D72" w:rsidP="00B66D72">
      <w:pPr>
        <w:pStyle w:val="ListParagraph"/>
        <w:numPr>
          <w:ilvl w:val="0"/>
          <w:numId w:val="17"/>
        </w:numPr>
        <w:spacing w:before="100" w:beforeAutospacing="1" w:after="100" w:afterAutospacing="1" w:line="240" w:lineRule="auto"/>
        <w:jc w:val="left"/>
        <w:rPr>
          <w:rFonts w:ascii="Arial Narrow" w:hAnsi="Arial Narrow"/>
          <w:color w:val="000000" w:themeColor="text1"/>
        </w:rPr>
      </w:pPr>
      <w:r w:rsidRPr="00046E5A">
        <w:rPr>
          <w:rFonts w:ascii="Arial Narrow" w:hAnsi="Arial Narrow"/>
          <w:color w:val="000000" w:themeColor="text1"/>
        </w:rPr>
        <w:t>Allegations of sexual discrimination which meet the requirements of a Title IX offense and which are made by a student against a staff or faculty member shall not be resolved by the informal resolution procedure.</w:t>
      </w:r>
    </w:p>
    <w:p w:rsidR="00B66D72" w:rsidRPr="00046E5A" w:rsidRDefault="00397B6F" w:rsidP="00B66D72">
      <w:pPr>
        <w:pStyle w:val="Heading2"/>
        <w:spacing w:before="100" w:beforeAutospacing="1" w:after="100" w:afterAutospacing="1" w:line="240" w:lineRule="auto"/>
      </w:pPr>
      <w:r>
        <w:t>OTHER SEX-BASED DISCRIMINATION HEARING AND APPEALS PROCESS</w:t>
      </w:r>
    </w:p>
    <w:p w:rsidR="00397B6F" w:rsidRDefault="00397B6F" w:rsidP="00B66D72">
      <w:pPr>
        <w:spacing w:before="100" w:beforeAutospacing="1" w:after="100" w:afterAutospacing="1" w:line="240" w:lineRule="auto"/>
        <w:ind w:firstLine="360"/>
        <w:rPr>
          <w:rFonts w:ascii="Arial Narrow" w:hAnsi="Arial Narrow"/>
          <w:color w:val="000000" w:themeColor="text1"/>
          <w:sz w:val="24"/>
          <w:szCs w:val="24"/>
        </w:rPr>
      </w:pPr>
      <w:r>
        <w:rPr>
          <w:rFonts w:ascii="Arial Narrow" w:hAnsi="Arial Narrow"/>
          <w:color w:val="000000" w:themeColor="text1"/>
          <w:sz w:val="24"/>
          <w:szCs w:val="24"/>
        </w:rPr>
        <w:t xml:space="preserve">Once the Other Sex-Based Discrimination grievance is ripe for a hearing, the grievance shall be heard by the Title IX Hearing Committee established under the Title IX (Sexual Harassment Discrimination) Grievance Procedure. In the case of a hearing under this Other Sex-Based Discrimination Grievance Procedure, the Title IX Hearing Committee shall be responsible for determining, based on the preponderance of the evidence, whether the Respondent is responsible for committing </w:t>
      </w:r>
      <w:proofErr w:type="gramStart"/>
      <w:r>
        <w:rPr>
          <w:rFonts w:ascii="Arial Narrow" w:hAnsi="Arial Narrow"/>
          <w:color w:val="000000" w:themeColor="text1"/>
          <w:sz w:val="24"/>
          <w:szCs w:val="24"/>
        </w:rPr>
        <w:t>an Other</w:t>
      </w:r>
      <w:proofErr w:type="gramEnd"/>
      <w:r>
        <w:rPr>
          <w:rFonts w:ascii="Arial Narrow" w:hAnsi="Arial Narrow"/>
          <w:color w:val="000000" w:themeColor="text1"/>
          <w:sz w:val="24"/>
          <w:szCs w:val="24"/>
        </w:rPr>
        <w:t xml:space="preserve"> Sex-Based Harassment violation, and, if so, to recommend an appropriate action to end the discrimination, prevent its recurrence, and remove its effects on the Complainant and the university community.</w:t>
      </w:r>
    </w:p>
    <w:p w:rsidR="00397B6F" w:rsidRDefault="00397B6F" w:rsidP="00B66D72">
      <w:pPr>
        <w:spacing w:before="100" w:beforeAutospacing="1" w:after="100" w:afterAutospacing="1" w:line="240" w:lineRule="auto"/>
        <w:ind w:firstLine="360"/>
        <w:rPr>
          <w:rFonts w:ascii="Arial Narrow" w:hAnsi="Arial Narrow"/>
          <w:color w:val="000000" w:themeColor="text1"/>
          <w:sz w:val="24"/>
          <w:szCs w:val="24"/>
        </w:rPr>
      </w:pPr>
      <w:r>
        <w:rPr>
          <w:rFonts w:ascii="Arial Narrow" w:hAnsi="Arial Narrow"/>
          <w:color w:val="000000" w:themeColor="text1"/>
          <w:sz w:val="24"/>
          <w:szCs w:val="24"/>
        </w:rPr>
        <w:t>The hearing an appeals process shall follow the same processes outlined in the Title IX (Sexual Harassment Discrimination) Grievance Procedure.</w:t>
      </w:r>
    </w:p>
    <w:p w:rsidR="00B66D72" w:rsidRPr="00046E5A" w:rsidRDefault="00B66D72" w:rsidP="00B66D72">
      <w:pPr>
        <w:pStyle w:val="Heading2"/>
        <w:spacing w:before="100" w:beforeAutospacing="1" w:after="100" w:afterAutospacing="1" w:line="240" w:lineRule="auto"/>
      </w:pPr>
      <w:bookmarkStart w:id="5" w:name="_Toc144300605"/>
      <w:r w:rsidRPr="00046E5A">
        <w:t>DOCUMENT COLLECTION</w:t>
      </w:r>
      <w:bookmarkEnd w:id="5"/>
    </w:p>
    <w:p w:rsidR="00B66D72" w:rsidRDefault="00B66D72" w:rsidP="00B66D72">
      <w:pPr>
        <w:shd w:val="clear" w:color="auto" w:fill="FFFFFF"/>
        <w:spacing w:before="100" w:beforeAutospacing="1" w:after="100" w:afterAutospacing="1" w:line="240" w:lineRule="auto"/>
        <w:ind w:firstLine="360"/>
        <w:rPr>
          <w:rFonts w:ascii="Arial Narrow" w:hAnsi="Arial Narrow" w:cs="Arial"/>
          <w:color w:val="000000"/>
          <w:sz w:val="24"/>
          <w:szCs w:val="24"/>
        </w:rPr>
      </w:pPr>
      <w:r w:rsidRPr="00046E5A">
        <w:rPr>
          <w:rFonts w:ascii="Arial Narrow" w:hAnsi="Arial Narrow" w:cs="Arial"/>
          <w:color w:val="000000"/>
          <w:sz w:val="24"/>
          <w:szCs w:val="24"/>
        </w:rPr>
        <w:t xml:space="preserve">When </w:t>
      </w:r>
      <w:proofErr w:type="gramStart"/>
      <w:r w:rsidRPr="00046E5A">
        <w:rPr>
          <w:rFonts w:ascii="Arial Narrow" w:hAnsi="Arial Narrow" w:cs="Arial"/>
          <w:color w:val="000000"/>
          <w:sz w:val="24"/>
          <w:szCs w:val="24"/>
        </w:rPr>
        <w:t>a</w:t>
      </w:r>
      <w:r w:rsidR="00F76496">
        <w:rPr>
          <w:rFonts w:ascii="Arial Narrow" w:hAnsi="Arial Narrow" w:cs="Arial"/>
          <w:color w:val="000000"/>
          <w:sz w:val="24"/>
          <w:szCs w:val="24"/>
        </w:rPr>
        <w:t>n Other</w:t>
      </w:r>
      <w:proofErr w:type="gramEnd"/>
      <w:r w:rsidR="00F76496">
        <w:rPr>
          <w:rFonts w:ascii="Arial Narrow" w:hAnsi="Arial Narrow" w:cs="Arial"/>
          <w:color w:val="000000"/>
          <w:sz w:val="24"/>
          <w:szCs w:val="24"/>
        </w:rPr>
        <w:t xml:space="preserve"> Sex-Based Discrimination grievance proceeding</w:t>
      </w:r>
      <w:r w:rsidRPr="00046E5A">
        <w:rPr>
          <w:rFonts w:ascii="Arial Narrow" w:hAnsi="Arial Narrow" w:cs="Arial"/>
          <w:color w:val="000000"/>
          <w:sz w:val="24"/>
          <w:szCs w:val="24"/>
        </w:rPr>
        <w:t xml:space="preserve"> has been closed, all materials relating </w:t>
      </w:r>
      <w:r w:rsidRPr="00046E5A">
        <w:rPr>
          <w:rFonts w:ascii="Arial Narrow" w:hAnsi="Arial Narrow" w:cs="Arial"/>
          <w:color w:val="000000"/>
          <w:sz w:val="24"/>
          <w:szCs w:val="24"/>
        </w:rPr>
        <w:lastRenderedPageBreak/>
        <w:t xml:space="preserve">to that case shall be retained on file by the Title IX Coordinator for seven (7) years. Care will be taken to ensure that no incomplete or inaccurate information pertaining to the grievance is retained in the file. </w:t>
      </w:r>
      <w:r w:rsidR="00F76496">
        <w:rPr>
          <w:rFonts w:ascii="Arial Narrow" w:hAnsi="Arial Narrow" w:cs="Arial"/>
          <w:color w:val="000000"/>
          <w:sz w:val="24"/>
          <w:szCs w:val="24"/>
        </w:rPr>
        <w:t>Other Sex-Based Discrimination</w:t>
      </w:r>
      <w:r w:rsidRPr="00046E5A">
        <w:rPr>
          <w:rFonts w:ascii="Arial Narrow" w:hAnsi="Arial Narrow" w:cs="Arial"/>
          <w:color w:val="000000"/>
          <w:sz w:val="24"/>
          <w:szCs w:val="24"/>
        </w:rPr>
        <w:t xml:space="preserve"> grievance proceedings are considered confidential and no person involved with the grievance may make the documents public except as required or permitted by law.</w:t>
      </w:r>
    </w:p>
    <w:p w:rsidR="002D7860" w:rsidRPr="00046E5A" w:rsidRDefault="002D7860" w:rsidP="002D7860">
      <w:pPr>
        <w:pStyle w:val="Heading2"/>
        <w:spacing w:before="100" w:beforeAutospacing="1" w:after="100" w:afterAutospacing="1" w:line="240" w:lineRule="auto"/>
      </w:pPr>
      <w:bookmarkStart w:id="6" w:name="_Toc144300513"/>
      <w:r w:rsidRPr="00046E5A">
        <w:t>RETALIATORY ACTION PROHIBITED</w:t>
      </w:r>
      <w:bookmarkEnd w:id="6"/>
      <w:r w:rsidRPr="00046E5A">
        <w:t xml:space="preserve"> </w:t>
      </w:r>
    </w:p>
    <w:p w:rsidR="005D0CDF" w:rsidRDefault="002D7860" w:rsidP="002D7860">
      <w:pPr>
        <w:shd w:val="clear" w:color="auto" w:fill="FFFFFF"/>
        <w:spacing w:before="100" w:beforeAutospacing="1" w:after="100" w:afterAutospacing="1" w:line="240" w:lineRule="auto"/>
      </w:pPr>
      <w:r w:rsidRPr="00046E5A">
        <w:rPr>
          <w:rFonts w:ascii="Arial Narrow" w:hAnsi="Arial Narrow"/>
          <w:color w:val="000000" w:themeColor="text1"/>
          <w:sz w:val="24"/>
          <w:szCs w:val="24"/>
        </w:rPr>
        <w:t xml:space="preserve">Retaliation against a person who files a charge of discrimination, participates in an investigation, refuses to participate in an investigation, or opposes an unlawful employment practice is prohibited by law and the ASU System. Any person who needs further explanation or who believes he or she has been retaliated against </w:t>
      </w:r>
      <w:r w:rsidR="004621E6">
        <w:rPr>
          <w:rFonts w:ascii="Arial Narrow" w:hAnsi="Arial Narrow"/>
          <w:color w:val="000000" w:themeColor="text1"/>
          <w:sz w:val="24"/>
          <w:szCs w:val="24"/>
        </w:rPr>
        <w:t xml:space="preserve">in connection with </w:t>
      </w:r>
      <w:proofErr w:type="gramStart"/>
      <w:r w:rsidR="004621E6">
        <w:rPr>
          <w:rFonts w:ascii="Arial Narrow" w:hAnsi="Arial Narrow"/>
          <w:color w:val="000000" w:themeColor="text1"/>
          <w:sz w:val="24"/>
          <w:szCs w:val="24"/>
        </w:rPr>
        <w:t>an Other</w:t>
      </w:r>
      <w:proofErr w:type="gramEnd"/>
      <w:r w:rsidR="004621E6">
        <w:rPr>
          <w:rFonts w:ascii="Arial Narrow" w:hAnsi="Arial Narrow"/>
          <w:color w:val="000000" w:themeColor="text1"/>
          <w:sz w:val="24"/>
          <w:szCs w:val="24"/>
        </w:rPr>
        <w:t xml:space="preserve"> Sex-Based Discrimination grievance should contact their campus Title IX Coordinator</w:t>
      </w:r>
      <w:r w:rsidRPr="00046E5A">
        <w:rPr>
          <w:rFonts w:ascii="Arial Narrow" w:hAnsi="Arial Narrow"/>
          <w:color w:val="000000" w:themeColor="text1"/>
          <w:sz w:val="24"/>
          <w:szCs w:val="24"/>
        </w:rPr>
        <w:t>.</w:t>
      </w:r>
    </w:p>
    <w:sectPr w:rsidR="005D0C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BD6" w:rsidRDefault="006C6BD6" w:rsidP="006C6BD6">
      <w:pPr>
        <w:spacing w:after="0" w:line="240" w:lineRule="auto"/>
      </w:pPr>
      <w:r>
        <w:separator/>
      </w:r>
    </w:p>
  </w:endnote>
  <w:endnote w:type="continuationSeparator" w:id="0">
    <w:p w:rsidR="006C6BD6" w:rsidRDefault="006C6BD6" w:rsidP="006C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KGH K+ Friz Quadrat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11384"/>
      <w:docPartObj>
        <w:docPartGallery w:val="Page Numbers (Bottom of Page)"/>
        <w:docPartUnique/>
      </w:docPartObj>
    </w:sdtPr>
    <w:sdtEndPr>
      <w:rPr>
        <w:noProof/>
      </w:rPr>
    </w:sdtEndPr>
    <w:sdtContent>
      <w:p w:rsidR="006C6BD6" w:rsidRDefault="006C6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C6BD6" w:rsidRDefault="006C6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BD6" w:rsidRDefault="006C6BD6" w:rsidP="006C6BD6">
      <w:pPr>
        <w:spacing w:after="0" w:line="240" w:lineRule="auto"/>
      </w:pPr>
      <w:r>
        <w:separator/>
      </w:r>
    </w:p>
  </w:footnote>
  <w:footnote w:type="continuationSeparator" w:id="0">
    <w:p w:rsidR="006C6BD6" w:rsidRDefault="006C6BD6" w:rsidP="006C6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032"/>
    <w:multiLevelType w:val="hybridMultilevel"/>
    <w:tmpl w:val="3DE02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45CB"/>
    <w:multiLevelType w:val="hybridMultilevel"/>
    <w:tmpl w:val="752CA7C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1457E"/>
    <w:multiLevelType w:val="hybridMultilevel"/>
    <w:tmpl w:val="8D58EFF2"/>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AB30EE9A">
      <w:start w:val="1"/>
      <w:numFmt w:val="decimal"/>
      <w:lvlText w:val="%4."/>
      <w:lvlJc w:val="left"/>
      <w:pPr>
        <w:ind w:left="3600" w:hanging="360"/>
      </w:pPr>
      <w:rPr>
        <w:rFonts w:ascii="Arial Narrow" w:eastAsia="Times New Roman" w:hAnsi="Arial Narrow" w:cs="Times New Roman"/>
      </w:rPr>
    </w:lvl>
    <w:lvl w:ilvl="4" w:tplc="25324A6C">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574F59"/>
    <w:multiLevelType w:val="hybridMultilevel"/>
    <w:tmpl w:val="A684AD34"/>
    <w:lvl w:ilvl="0" w:tplc="82EAC6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C7E5D"/>
    <w:multiLevelType w:val="hybridMultilevel"/>
    <w:tmpl w:val="D1A2B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A2091"/>
    <w:multiLevelType w:val="hybridMultilevel"/>
    <w:tmpl w:val="39BA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05DA8"/>
    <w:multiLevelType w:val="hybridMultilevel"/>
    <w:tmpl w:val="7B9CB298"/>
    <w:lvl w:ilvl="0" w:tplc="04090019">
      <w:start w:val="1"/>
      <w:numFmt w:val="lowerLetter"/>
      <w:lvlText w:val="%1."/>
      <w:lvlJc w:val="left"/>
      <w:pPr>
        <w:ind w:left="72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9018C"/>
    <w:multiLevelType w:val="hybridMultilevel"/>
    <w:tmpl w:val="10FAA1BA"/>
    <w:lvl w:ilvl="0" w:tplc="04090019">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7C5D7E"/>
    <w:multiLevelType w:val="hybridMultilevel"/>
    <w:tmpl w:val="14569D94"/>
    <w:lvl w:ilvl="0" w:tplc="F3FEF71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37A34"/>
    <w:multiLevelType w:val="hybridMultilevel"/>
    <w:tmpl w:val="CDD6059A"/>
    <w:lvl w:ilvl="0" w:tplc="7F6CEAC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AE779E"/>
    <w:multiLevelType w:val="hybridMultilevel"/>
    <w:tmpl w:val="6044AD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049B4"/>
    <w:multiLevelType w:val="hybridMultilevel"/>
    <w:tmpl w:val="A06E38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AB30EE9A">
      <w:start w:val="1"/>
      <w:numFmt w:val="decimal"/>
      <w:lvlText w:val="%4."/>
      <w:lvlJc w:val="left"/>
      <w:pPr>
        <w:ind w:left="2880" w:hanging="360"/>
      </w:pPr>
      <w:rPr>
        <w:rFonts w:ascii="Arial Narrow" w:eastAsia="Times New Roman" w:hAnsi="Arial Narrow" w:cs="Times New Roman"/>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8199E"/>
    <w:multiLevelType w:val="hybridMultilevel"/>
    <w:tmpl w:val="F132C6B2"/>
    <w:lvl w:ilvl="0" w:tplc="A56C96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062AF5"/>
    <w:multiLevelType w:val="hybridMultilevel"/>
    <w:tmpl w:val="72DAA9E6"/>
    <w:lvl w:ilvl="0" w:tplc="04090015">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3D73B5"/>
    <w:multiLevelType w:val="hybridMultilevel"/>
    <w:tmpl w:val="6518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6087E"/>
    <w:multiLevelType w:val="hybridMultilevel"/>
    <w:tmpl w:val="C46E3C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8AA8CB24">
      <w:start w:val="1"/>
      <w:numFmt w:val="decimal"/>
      <w:lvlText w:val="%7."/>
      <w:lvlJc w:val="left"/>
      <w:pPr>
        <w:ind w:left="5760" w:hanging="360"/>
      </w:pPr>
      <w:rPr>
        <w:rFonts w:ascii="Arial Narrow" w:eastAsia="Times New Roman" w:hAnsi="Arial Narrow" w:cs="Times New Roman"/>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9D3249D"/>
    <w:multiLevelType w:val="hybridMultilevel"/>
    <w:tmpl w:val="A028AF2C"/>
    <w:lvl w:ilvl="0" w:tplc="990272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93076"/>
    <w:multiLevelType w:val="hybridMultilevel"/>
    <w:tmpl w:val="756E9B8E"/>
    <w:lvl w:ilvl="0" w:tplc="0144C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3379"/>
    <w:multiLevelType w:val="hybridMultilevel"/>
    <w:tmpl w:val="10B6987E"/>
    <w:lvl w:ilvl="0" w:tplc="07AE19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8"/>
  </w:num>
  <w:num w:numId="4">
    <w:abstractNumId w:val="1"/>
  </w:num>
  <w:num w:numId="5">
    <w:abstractNumId w:val="13"/>
  </w:num>
  <w:num w:numId="6">
    <w:abstractNumId w:val="11"/>
  </w:num>
  <w:num w:numId="7">
    <w:abstractNumId w:val="14"/>
  </w:num>
  <w:num w:numId="8">
    <w:abstractNumId w:val="5"/>
  </w:num>
  <w:num w:numId="9">
    <w:abstractNumId w:val="16"/>
  </w:num>
  <w:num w:numId="10">
    <w:abstractNumId w:val="15"/>
  </w:num>
  <w:num w:numId="11">
    <w:abstractNumId w:val="10"/>
  </w:num>
  <w:num w:numId="12">
    <w:abstractNumId w:val="7"/>
  </w:num>
  <w:num w:numId="13">
    <w:abstractNumId w:val="6"/>
  </w:num>
  <w:num w:numId="14">
    <w:abstractNumId w:val="9"/>
  </w:num>
  <w:num w:numId="15">
    <w:abstractNumId w:val="3"/>
  </w:num>
  <w:num w:numId="16">
    <w:abstractNumId w:val="12"/>
  </w:num>
  <w:num w:numId="17">
    <w:abstractNumId w:val="1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72"/>
    <w:rsid w:val="00074AD3"/>
    <w:rsid w:val="00111A33"/>
    <w:rsid w:val="00171774"/>
    <w:rsid w:val="002D7860"/>
    <w:rsid w:val="00337557"/>
    <w:rsid w:val="00341061"/>
    <w:rsid w:val="00397B6F"/>
    <w:rsid w:val="00450891"/>
    <w:rsid w:val="004621E6"/>
    <w:rsid w:val="00463918"/>
    <w:rsid w:val="00477C5D"/>
    <w:rsid w:val="004F1061"/>
    <w:rsid w:val="0056115D"/>
    <w:rsid w:val="005D0CDF"/>
    <w:rsid w:val="006C6BD6"/>
    <w:rsid w:val="0073623F"/>
    <w:rsid w:val="00AA4A64"/>
    <w:rsid w:val="00B468A0"/>
    <w:rsid w:val="00B66D72"/>
    <w:rsid w:val="00BE67D6"/>
    <w:rsid w:val="00DA1234"/>
    <w:rsid w:val="00DF0E72"/>
    <w:rsid w:val="00F62463"/>
    <w:rsid w:val="00F76496"/>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82C3"/>
  <w15:chartTrackingRefBased/>
  <w15:docId w15:val="{DC55B9D5-2851-4B56-89BE-7AA4E120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D72"/>
    <w:pPr>
      <w:widowControl w:val="0"/>
      <w:spacing w:after="200" w:line="276" w:lineRule="auto"/>
    </w:pPr>
  </w:style>
  <w:style w:type="paragraph" w:styleId="Heading1">
    <w:name w:val="heading 1"/>
    <w:basedOn w:val="Normal"/>
    <w:next w:val="Normal"/>
    <w:link w:val="Heading1Char"/>
    <w:uiPriority w:val="9"/>
    <w:qFormat/>
    <w:rsid w:val="00B66D72"/>
    <w:pPr>
      <w:spacing w:before="54" w:after="0" w:line="240" w:lineRule="auto"/>
      <w:ind w:left="1777" w:right="1778"/>
      <w:jc w:val="center"/>
      <w:outlineLvl w:val="0"/>
    </w:pPr>
    <w:rPr>
      <w:rFonts w:ascii="Arial Narrow" w:eastAsia="Arial Narrow" w:hAnsi="Arial Narrow" w:cs="Arial Narrow"/>
      <w:b/>
      <w:bCs/>
      <w:spacing w:val="-5"/>
      <w:sz w:val="36"/>
      <w:szCs w:val="36"/>
    </w:rPr>
  </w:style>
  <w:style w:type="paragraph" w:styleId="Heading2">
    <w:name w:val="heading 2"/>
    <w:basedOn w:val="Normal"/>
    <w:next w:val="Normal"/>
    <w:link w:val="Heading2Char"/>
    <w:uiPriority w:val="9"/>
    <w:unhideWhenUsed/>
    <w:qFormat/>
    <w:rsid w:val="00B66D72"/>
    <w:pPr>
      <w:shd w:val="clear" w:color="auto" w:fill="FFFFFF"/>
      <w:spacing w:after="0"/>
      <w:outlineLvl w:val="1"/>
    </w:pPr>
    <w:rPr>
      <w:rFonts w:ascii="Arial Narrow" w:hAnsi="Arial Narrow"/>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D72"/>
    <w:rPr>
      <w:rFonts w:ascii="Arial Narrow" w:eastAsia="Arial Narrow" w:hAnsi="Arial Narrow" w:cs="Arial Narrow"/>
      <w:b/>
      <w:bCs/>
      <w:spacing w:val="-5"/>
      <w:sz w:val="36"/>
      <w:szCs w:val="36"/>
    </w:rPr>
  </w:style>
  <w:style w:type="character" w:customStyle="1" w:styleId="Heading2Char">
    <w:name w:val="Heading 2 Char"/>
    <w:basedOn w:val="DefaultParagraphFont"/>
    <w:link w:val="Heading2"/>
    <w:uiPriority w:val="9"/>
    <w:rsid w:val="00B66D72"/>
    <w:rPr>
      <w:rFonts w:ascii="Arial Narrow" w:hAnsi="Arial Narrow"/>
      <w:b/>
      <w:caps/>
      <w:sz w:val="24"/>
      <w:szCs w:val="24"/>
      <w:shd w:val="clear" w:color="auto" w:fill="FFFFFF"/>
    </w:rPr>
  </w:style>
  <w:style w:type="paragraph" w:styleId="ListParagraph">
    <w:name w:val="List Paragraph"/>
    <w:basedOn w:val="Normal"/>
    <w:uiPriority w:val="34"/>
    <w:qFormat/>
    <w:rsid w:val="00B66D72"/>
    <w:pPr>
      <w:widowControl/>
      <w:spacing w:after="0" w:line="338" w:lineRule="atLeast"/>
      <w:ind w:left="720" w:firstLine="360"/>
      <w:jc w:val="both"/>
    </w:pPr>
    <w:rPr>
      <w:rFonts w:ascii="Times New Roman" w:eastAsia="Times New Roman" w:hAnsi="Times New Roman" w:cs="Times New Roman"/>
      <w:sz w:val="24"/>
      <w:szCs w:val="24"/>
    </w:rPr>
  </w:style>
  <w:style w:type="paragraph" w:customStyle="1" w:styleId="Default">
    <w:name w:val="Default"/>
    <w:uiPriority w:val="99"/>
    <w:rsid w:val="00B66D72"/>
    <w:pPr>
      <w:widowControl w:val="0"/>
      <w:autoSpaceDE w:val="0"/>
      <w:autoSpaceDN w:val="0"/>
      <w:adjustRightInd w:val="0"/>
      <w:spacing w:after="0" w:line="338" w:lineRule="atLeast"/>
      <w:ind w:firstLine="360"/>
      <w:jc w:val="both"/>
    </w:pPr>
    <w:rPr>
      <w:rFonts w:ascii="OPKGH K+ Friz Quadrata" w:eastAsia="Times New Roman" w:hAnsi="OPKGH K+ Friz Quadrata" w:cs="OPKGH K+ Friz Quadrata"/>
      <w:color w:val="000000"/>
      <w:sz w:val="24"/>
      <w:szCs w:val="24"/>
    </w:rPr>
  </w:style>
  <w:style w:type="paragraph" w:styleId="Header">
    <w:name w:val="header"/>
    <w:basedOn w:val="Normal"/>
    <w:link w:val="HeaderChar"/>
    <w:uiPriority w:val="99"/>
    <w:unhideWhenUsed/>
    <w:rsid w:val="006C6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BD6"/>
  </w:style>
  <w:style w:type="paragraph" w:styleId="Footer">
    <w:name w:val="footer"/>
    <w:basedOn w:val="Normal"/>
    <w:link w:val="FooterChar"/>
    <w:uiPriority w:val="99"/>
    <w:unhideWhenUsed/>
    <w:rsid w:val="006C6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Ohrenberger</dc:creator>
  <cp:keywords/>
  <dc:description/>
  <cp:lastModifiedBy>Mark Ohrenberger</cp:lastModifiedBy>
  <cp:revision>18</cp:revision>
  <dcterms:created xsi:type="dcterms:W3CDTF">2023-11-17T20:44:00Z</dcterms:created>
  <dcterms:modified xsi:type="dcterms:W3CDTF">2023-12-01T14:41:00Z</dcterms:modified>
</cp:coreProperties>
</file>